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33A1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36BB5199" w14:textId="77777777" w:rsidR="006D6BA5" w:rsidRPr="00DA30AD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4B363792" w14:textId="58B60F02" w:rsidR="009622FA" w:rsidRDefault="00911689" w:rsidP="00141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purpose of this policy is to establish a telework program for Weber County. </w:t>
      </w:r>
    </w:p>
    <w:p w14:paraId="79FEAAEF" w14:textId="77777777" w:rsidR="009622FA" w:rsidRPr="00DA30AD" w:rsidRDefault="009622FA" w:rsidP="00141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39F09D4B" w14:textId="77777777" w:rsidR="008C1738" w:rsidRPr="00DA30AD" w:rsidRDefault="008C1738" w:rsidP="00141C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5ECF137F" w14:textId="77777777" w:rsidR="008C1738" w:rsidRPr="00DA30AD" w:rsidRDefault="008C1738" w:rsidP="00141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92BD364" w14:textId="6ACDB792" w:rsidR="009622FA" w:rsidRPr="00DA30AD" w:rsidRDefault="00911689" w:rsidP="00141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Telecommuting may be a workplace alternative where a Department Head and/or Elected Official determines that an employee or employees may perform some or all of their assigned duties at an alternate work location. Telework requires a mutual agreement between an employee and Weber County and does not change the basic terms and conditions of employment. </w:t>
      </w:r>
    </w:p>
    <w:p w14:paraId="31597E84" w14:textId="77777777" w:rsidR="006D6BA5" w:rsidRPr="00DA30AD" w:rsidRDefault="006D6BA5" w:rsidP="00141C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515769F7" w14:textId="77777777" w:rsidR="006D6BA5" w:rsidRPr="00DA30AD" w:rsidRDefault="006D6BA5" w:rsidP="00141C9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218904AB" w14:textId="77777777" w:rsidR="00457D5E" w:rsidRPr="00DA30AD" w:rsidRDefault="00457D5E" w:rsidP="00141C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C45551F" w14:textId="77777777" w:rsidR="00D51B50" w:rsidRPr="00D51B50" w:rsidRDefault="00D51B50" w:rsidP="00D51B50">
      <w:pPr>
        <w:pStyle w:val="ListParagraph"/>
        <w:rPr>
          <w:rFonts w:asciiTheme="minorHAnsi" w:hAnsiTheme="minorHAnsi" w:cstheme="minorHAnsi"/>
        </w:rPr>
      </w:pPr>
    </w:p>
    <w:p w14:paraId="5082E602" w14:textId="0B6FB845" w:rsidR="00D51B50" w:rsidRPr="00D51B50" w:rsidRDefault="00D51B50" w:rsidP="00D51B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51B50">
        <w:rPr>
          <w:rFonts w:asciiTheme="minorHAnsi" w:hAnsiTheme="minorHAnsi" w:cstheme="minorHAnsi"/>
          <w:b/>
        </w:rPr>
        <w:t>Telecommuting</w:t>
      </w:r>
    </w:p>
    <w:p w14:paraId="57FCEBE8" w14:textId="361D261B" w:rsidR="00D51B50" w:rsidRDefault="00D51B50" w:rsidP="00D51B5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44FB659A" w14:textId="0E2656F6" w:rsidR="00D51B50" w:rsidRDefault="00D51B50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>Telecommuting is an administrative option</w:t>
      </w:r>
      <w:r w:rsidR="004303F6">
        <w:t>,</w:t>
      </w:r>
      <w:r>
        <w:t xml:space="preserve"> not an employee benefit</w:t>
      </w:r>
      <w:r w:rsidR="004303F6">
        <w:t>,</w:t>
      </w:r>
      <w:r w:rsidR="001969B8">
        <w:t xml:space="preserve"> and all telecommuting arrangements are made on a case-by-case basis, focusing first on the needs of the department and Weber County</w:t>
      </w:r>
      <w:r>
        <w:t xml:space="preserve">. </w:t>
      </w:r>
    </w:p>
    <w:p w14:paraId="6FE2DDD3" w14:textId="5E3C1E32" w:rsidR="00814B99" w:rsidRDefault="00814B99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>Departments using a telecommuting program should establish an internal written policy.</w:t>
      </w:r>
    </w:p>
    <w:p w14:paraId="74ABEDCA" w14:textId="74566347" w:rsidR="00AD76D3" w:rsidRDefault="00AD76D3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>An employee who wishes to participate in telecommuting must sign the Weber County Telecommuting Form and return it to the Human Resource Office.</w:t>
      </w:r>
    </w:p>
    <w:p w14:paraId="6828CFE8" w14:textId="77777777" w:rsidR="00D51B50" w:rsidRDefault="00D51B50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 xml:space="preserve">Telecommuting requires management approval and is not appropriate for every job at the County. </w:t>
      </w:r>
    </w:p>
    <w:p w14:paraId="00BCF517" w14:textId="77777777" w:rsidR="00D51B50" w:rsidRDefault="00D51B50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 xml:space="preserve">Telecommuting assignments do not change the conditions of employment or required compliance with policies. </w:t>
      </w:r>
    </w:p>
    <w:p w14:paraId="6C1325DB" w14:textId="31652C2E" w:rsidR="00D51B50" w:rsidRDefault="00D51B50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>A</w:t>
      </w:r>
      <w:r w:rsidR="0046283A">
        <w:t xml:space="preserve"> telecommuting</w:t>
      </w:r>
      <w:r>
        <w:t xml:space="preserve"> employee’s compensation and benefits will not change as a result of telecommuting arrangements. </w:t>
      </w:r>
    </w:p>
    <w:p w14:paraId="6211994C" w14:textId="77777777" w:rsidR="00AF3689" w:rsidRDefault="00D51B50" w:rsidP="00AF3689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 xml:space="preserve">A telecommuting employee is required to follow </w:t>
      </w:r>
      <w:r w:rsidR="00D20445">
        <w:t xml:space="preserve">department </w:t>
      </w:r>
      <w:r>
        <w:t xml:space="preserve">guidelines to ensure good communication and must be </w:t>
      </w:r>
      <w:r w:rsidR="00AF3689">
        <w:t>accessible by phone, email, video conference, chat, etc. during the agreed-upon work schedule.</w:t>
      </w:r>
    </w:p>
    <w:p w14:paraId="5CE0F625" w14:textId="77777777" w:rsidR="00D51B50" w:rsidRDefault="00D51B50" w:rsidP="00AF3689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 xml:space="preserve">A telecommuting employee must complete all assigned work and provide work status reports as requested by the supervisor. </w:t>
      </w:r>
    </w:p>
    <w:p w14:paraId="3D4FDF14" w14:textId="4342EAB3" w:rsidR="00D51B50" w:rsidRDefault="00D51B50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>A</w:t>
      </w:r>
      <w:r w:rsidR="0046283A">
        <w:t xml:space="preserve"> telecommuting</w:t>
      </w:r>
      <w:r>
        <w:t xml:space="preserve"> employee may be required to report to the primary work site or other locations as needed for work-related meetings, trainings or other events. </w:t>
      </w:r>
      <w:r w:rsidR="009E665E">
        <w:t xml:space="preserve">If for any reason the employee is unable to connect to do </w:t>
      </w:r>
      <w:r w:rsidR="00AF3689">
        <w:t>their work (VPN, c</w:t>
      </w:r>
      <w:r w:rsidR="009E665E">
        <w:t>omputer, phone</w:t>
      </w:r>
      <w:r w:rsidR="00AF3689">
        <w:t>, internet issues</w:t>
      </w:r>
      <w:r w:rsidR="0046283A">
        <w:t>, etc.</w:t>
      </w:r>
      <w:r w:rsidR="009E665E">
        <w:t xml:space="preserve">) they must </w:t>
      </w:r>
      <w:r w:rsidR="00AF3689">
        <w:t>report</w:t>
      </w:r>
      <w:r w:rsidR="009E665E">
        <w:t xml:space="preserve"> to the standard work location or account for the time off</w:t>
      </w:r>
      <w:r w:rsidR="00AF3689">
        <w:t>, in accordance with Policy 4-200 Leave Practices</w:t>
      </w:r>
      <w:r w:rsidR="009E665E">
        <w:t xml:space="preserve">. </w:t>
      </w:r>
    </w:p>
    <w:p w14:paraId="3C2DE2D9" w14:textId="738A8475" w:rsidR="00D51B50" w:rsidRDefault="00D51B50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t xml:space="preserve">A supervisor may meet with the employee in the alternate work location to discuss work-related issues. </w:t>
      </w:r>
    </w:p>
    <w:p w14:paraId="2408766A" w14:textId="6A0237AD" w:rsidR="004303F6" w:rsidRDefault="004303F6" w:rsidP="009C7873">
      <w:pPr>
        <w:pStyle w:val="ListParagraph"/>
        <w:numPr>
          <w:ilvl w:val="0"/>
          <w:numId w:val="22"/>
        </w:numPr>
        <w:spacing w:after="160" w:line="259" w:lineRule="auto"/>
        <w:ind w:left="1800"/>
        <w:jc w:val="both"/>
      </w:pPr>
      <w:r>
        <w:lastRenderedPageBreak/>
        <w:t xml:space="preserve">The County may terminate a telecommuting arrangement at any time, for any reason, and require the employee to return to the </w:t>
      </w:r>
      <w:r w:rsidR="00353BFE">
        <w:t>standard work location.</w:t>
      </w:r>
    </w:p>
    <w:p w14:paraId="7522240C" w14:textId="77777777" w:rsidR="00D51B50" w:rsidRDefault="00D51B50" w:rsidP="009C7873">
      <w:pPr>
        <w:pStyle w:val="ListParagraph"/>
        <w:spacing w:after="160" w:line="259" w:lineRule="auto"/>
        <w:ind w:left="1800"/>
        <w:jc w:val="both"/>
      </w:pPr>
    </w:p>
    <w:p w14:paraId="47647DD7" w14:textId="4915A8C0" w:rsidR="00D51B50" w:rsidRPr="00D51B50" w:rsidRDefault="00D51B50" w:rsidP="009C7873">
      <w:pPr>
        <w:pStyle w:val="ListParagraph"/>
        <w:numPr>
          <w:ilvl w:val="0"/>
          <w:numId w:val="27"/>
        </w:numPr>
        <w:jc w:val="both"/>
        <w:rPr>
          <w:b/>
        </w:rPr>
      </w:pPr>
      <w:r w:rsidRPr="00D51B50">
        <w:rPr>
          <w:b/>
        </w:rPr>
        <w:t xml:space="preserve">Work Schedule for Telecommuting </w:t>
      </w:r>
    </w:p>
    <w:p w14:paraId="753C873B" w14:textId="67C98CAB" w:rsidR="00D51B50" w:rsidRDefault="00D51B50" w:rsidP="009C7873">
      <w:pPr>
        <w:pStyle w:val="ListParagraph"/>
        <w:numPr>
          <w:ilvl w:val="0"/>
          <w:numId w:val="28"/>
        </w:numPr>
        <w:spacing w:after="160" w:line="259" w:lineRule="auto"/>
        <w:jc w:val="both"/>
      </w:pPr>
      <w:r>
        <w:t>The total number of hours a</w:t>
      </w:r>
      <w:r w:rsidR="0046283A">
        <w:t xml:space="preserve"> telecommuting</w:t>
      </w:r>
      <w:r>
        <w:t xml:space="preserve"> employee is expected to work will not change regardless of work location. </w:t>
      </w:r>
    </w:p>
    <w:p w14:paraId="2E1CD261" w14:textId="5CE47AFA" w:rsidR="00D51B50" w:rsidRDefault="00911689" w:rsidP="009C7873">
      <w:pPr>
        <w:pStyle w:val="ListParagraph"/>
        <w:numPr>
          <w:ilvl w:val="0"/>
          <w:numId w:val="28"/>
        </w:numPr>
        <w:spacing w:after="160" w:line="259" w:lineRule="auto"/>
        <w:jc w:val="both"/>
      </w:pPr>
      <w:r>
        <w:t xml:space="preserve">Supervisors </w:t>
      </w:r>
      <w:r w:rsidR="00D51B50">
        <w:t xml:space="preserve">must ensure compliance with the overtime, compensatory time and other compensation provisions of the HR Policy 5-100 Payroll Policy. </w:t>
      </w:r>
    </w:p>
    <w:p w14:paraId="22BF951A" w14:textId="1BC810C5" w:rsidR="00D51B50" w:rsidRDefault="00D51B50" w:rsidP="009C7873">
      <w:pPr>
        <w:pStyle w:val="ListParagraph"/>
        <w:numPr>
          <w:ilvl w:val="0"/>
          <w:numId w:val="28"/>
        </w:numPr>
        <w:spacing w:after="160" w:line="259" w:lineRule="auto"/>
        <w:jc w:val="both"/>
      </w:pPr>
      <w:r>
        <w:t xml:space="preserve">Sick leave, vacation or other leave will be approved following normal </w:t>
      </w:r>
      <w:r w:rsidR="00D20445">
        <w:t xml:space="preserve">department </w:t>
      </w:r>
      <w:r>
        <w:t xml:space="preserve">procedures. A telecommuting employee who is sick or has a personal appointment while working </w:t>
      </w:r>
      <w:r w:rsidR="00DF721C">
        <w:t>remotely</w:t>
      </w:r>
      <w:r>
        <w:t xml:space="preserve"> </w:t>
      </w:r>
      <w:r w:rsidR="001969B8">
        <w:t xml:space="preserve">must </w:t>
      </w:r>
      <w:r>
        <w:t xml:space="preserve">use leave for hours not worked. </w:t>
      </w:r>
    </w:p>
    <w:p w14:paraId="40635CB0" w14:textId="77777777" w:rsidR="00D51B50" w:rsidRDefault="00D51B50" w:rsidP="009C7873">
      <w:pPr>
        <w:pStyle w:val="ListParagraph"/>
        <w:spacing w:after="160" w:line="259" w:lineRule="auto"/>
        <w:ind w:left="2520"/>
        <w:jc w:val="both"/>
      </w:pPr>
    </w:p>
    <w:p w14:paraId="2AC7D353" w14:textId="1BE30DC7" w:rsidR="00D51B50" w:rsidRDefault="00D51B50" w:rsidP="009C7873">
      <w:pPr>
        <w:pStyle w:val="ListParagraph"/>
        <w:numPr>
          <w:ilvl w:val="0"/>
          <w:numId w:val="27"/>
        </w:numPr>
        <w:jc w:val="both"/>
        <w:rPr>
          <w:b/>
        </w:rPr>
      </w:pPr>
      <w:r w:rsidRPr="00D51B50">
        <w:rPr>
          <w:b/>
        </w:rPr>
        <w:t xml:space="preserve">Remote VPN access will be established according to standards set by Information Technologies and countywide policies. </w:t>
      </w:r>
    </w:p>
    <w:p w14:paraId="7094498E" w14:textId="77777777" w:rsidR="00D51B50" w:rsidRPr="00D51B50" w:rsidRDefault="00D51B50" w:rsidP="009C7873">
      <w:pPr>
        <w:pStyle w:val="ListParagraph"/>
        <w:ind w:left="1080"/>
        <w:jc w:val="both"/>
        <w:rPr>
          <w:b/>
        </w:rPr>
      </w:pPr>
    </w:p>
    <w:p w14:paraId="4F02D890" w14:textId="77777777" w:rsidR="00D51B50" w:rsidRPr="00D51B50" w:rsidRDefault="00D51B50" w:rsidP="009C7873">
      <w:pPr>
        <w:pStyle w:val="ListParagraph"/>
        <w:numPr>
          <w:ilvl w:val="0"/>
          <w:numId w:val="27"/>
        </w:numPr>
        <w:jc w:val="both"/>
        <w:rPr>
          <w:b/>
        </w:rPr>
      </w:pPr>
      <w:r w:rsidRPr="00D51B50">
        <w:rPr>
          <w:b/>
        </w:rPr>
        <w:t xml:space="preserve">Designated Work Area for Telecommuting </w:t>
      </w:r>
    </w:p>
    <w:p w14:paraId="3B3AFC1B" w14:textId="65381D6C" w:rsidR="00D51B50" w:rsidRDefault="00D51B50" w:rsidP="009C7873">
      <w:pPr>
        <w:pStyle w:val="ListParagraph"/>
        <w:numPr>
          <w:ilvl w:val="0"/>
          <w:numId w:val="29"/>
        </w:numPr>
        <w:spacing w:after="160" w:line="259" w:lineRule="auto"/>
        <w:jc w:val="both"/>
      </w:pPr>
      <w:r>
        <w:t>A</w:t>
      </w:r>
      <w:r w:rsidR="0046283A">
        <w:t xml:space="preserve"> telecommuting</w:t>
      </w:r>
      <w:r>
        <w:t xml:space="preserve"> employee’s off-site work space should provide adequat</w:t>
      </w:r>
      <w:r w:rsidR="001119FF">
        <w:t>e work area (e.g. table or desk</w:t>
      </w:r>
      <w:r>
        <w:t xml:space="preserve">, light, telephone and computer service). Additional requirements may vary depending on the nature of the work and the equipment needed to perform the job. </w:t>
      </w:r>
    </w:p>
    <w:p w14:paraId="60E671F2" w14:textId="40FA462F" w:rsidR="00D51B50" w:rsidRDefault="00D20445" w:rsidP="009C7873">
      <w:pPr>
        <w:pStyle w:val="ListParagraph"/>
        <w:numPr>
          <w:ilvl w:val="0"/>
          <w:numId w:val="29"/>
        </w:numPr>
        <w:spacing w:after="160" w:line="259" w:lineRule="auto"/>
        <w:jc w:val="both"/>
      </w:pPr>
      <w:r>
        <w:t xml:space="preserve">Departments </w:t>
      </w:r>
      <w:r w:rsidR="00D51B50">
        <w:t xml:space="preserve">will not assume responsibility for operating costs, home maintenance or other costs incurred by the employee in the use of a residence for telecommuting. </w:t>
      </w:r>
      <w:r>
        <w:t xml:space="preserve">Departments </w:t>
      </w:r>
      <w:r w:rsidR="00D51B50">
        <w:t xml:space="preserve">may use appropriate funds for other telecommuting costs. </w:t>
      </w:r>
    </w:p>
    <w:p w14:paraId="03AE3E77" w14:textId="1F7DD97F" w:rsidR="00D51B50" w:rsidRDefault="00D51B50" w:rsidP="009C7873">
      <w:pPr>
        <w:pStyle w:val="ListParagraph"/>
        <w:numPr>
          <w:ilvl w:val="0"/>
          <w:numId w:val="29"/>
        </w:numPr>
        <w:spacing w:after="160" w:line="259" w:lineRule="auto"/>
        <w:jc w:val="both"/>
      </w:pPr>
      <w:r>
        <w:t>The</w:t>
      </w:r>
      <w:r w:rsidR="0046283A">
        <w:t xml:space="preserve"> telecommuting</w:t>
      </w:r>
      <w:r>
        <w:t xml:space="preserve"> employee agrees to maintain safe conditions in the off-site workspace. A</w:t>
      </w:r>
      <w:r w:rsidR="00D20445">
        <w:t xml:space="preserve"> department </w:t>
      </w:r>
      <w:r>
        <w:t xml:space="preserve">may be liable for job-related injuries under the HR Policy 4-400 Workers’ Compensation. </w:t>
      </w:r>
    </w:p>
    <w:p w14:paraId="36A94D21" w14:textId="77777777" w:rsidR="00D51B50" w:rsidRDefault="00D51B50" w:rsidP="009C7873">
      <w:pPr>
        <w:pStyle w:val="ListParagraph"/>
        <w:spacing w:after="160" w:line="259" w:lineRule="auto"/>
        <w:ind w:left="2520"/>
        <w:jc w:val="both"/>
      </w:pPr>
    </w:p>
    <w:p w14:paraId="4E9EFDC6" w14:textId="77777777" w:rsidR="00D51B50" w:rsidRPr="00D51B50" w:rsidRDefault="00D51B50" w:rsidP="009C7873">
      <w:pPr>
        <w:pStyle w:val="ListParagraph"/>
        <w:numPr>
          <w:ilvl w:val="0"/>
          <w:numId w:val="27"/>
        </w:numPr>
        <w:jc w:val="both"/>
        <w:rPr>
          <w:b/>
        </w:rPr>
      </w:pPr>
      <w:r w:rsidRPr="00D51B50">
        <w:rPr>
          <w:b/>
        </w:rPr>
        <w:t xml:space="preserve">Equipment and Materials for Telecommuting </w:t>
      </w:r>
    </w:p>
    <w:p w14:paraId="447A64A7" w14:textId="7A9CAB62" w:rsidR="00D51B50" w:rsidRDefault="00D20445" w:rsidP="009C7873">
      <w:pPr>
        <w:pStyle w:val="ListParagraph"/>
        <w:numPr>
          <w:ilvl w:val="0"/>
          <w:numId w:val="31"/>
        </w:numPr>
        <w:spacing w:after="160" w:line="259" w:lineRule="auto"/>
        <w:jc w:val="both"/>
      </w:pPr>
      <w:r>
        <w:t>The department</w:t>
      </w:r>
      <w:r w:rsidR="00D51B50">
        <w:t xml:space="preserve"> will provide reasonable equipment and materials needed by an employee for the telecommuting assignment. The </w:t>
      </w:r>
      <w:r w:rsidR="0046283A">
        <w:t xml:space="preserve">telecommuting </w:t>
      </w:r>
      <w:r w:rsidR="00D51B50">
        <w:t xml:space="preserve">employee will exercise reasonable care of the equipment and may be held liable for theft or damage. </w:t>
      </w:r>
    </w:p>
    <w:p w14:paraId="26743EB3" w14:textId="07143ABF" w:rsidR="00D51B50" w:rsidRDefault="00D51B50" w:rsidP="009C7873">
      <w:pPr>
        <w:pStyle w:val="ListParagraph"/>
        <w:numPr>
          <w:ilvl w:val="0"/>
          <w:numId w:val="31"/>
        </w:numPr>
        <w:spacing w:after="160" w:line="259" w:lineRule="auto"/>
        <w:jc w:val="both"/>
      </w:pPr>
      <w:r>
        <w:t xml:space="preserve">County equipment will be maintained, serviced and repaired by the County. </w:t>
      </w:r>
    </w:p>
    <w:p w14:paraId="2E1E7473" w14:textId="77777777" w:rsidR="00D51B50" w:rsidRDefault="00D51B50" w:rsidP="009C7873">
      <w:pPr>
        <w:pStyle w:val="ListParagraph"/>
        <w:spacing w:after="160" w:line="259" w:lineRule="auto"/>
        <w:ind w:left="2520"/>
        <w:jc w:val="both"/>
      </w:pPr>
    </w:p>
    <w:p w14:paraId="54961F4F" w14:textId="77777777" w:rsidR="00D51B50" w:rsidRPr="00D51B50" w:rsidRDefault="00D51B50" w:rsidP="009C7873">
      <w:pPr>
        <w:pStyle w:val="ListParagraph"/>
        <w:numPr>
          <w:ilvl w:val="0"/>
          <w:numId w:val="27"/>
        </w:numPr>
        <w:jc w:val="both"/>
        <w:rPr>
          <w:b/>
        </w:rPr>
      </w:pPr>
      <w:r w:rsidRPr="00D51B50">
        <w:rPr>
          <w:b/>
        </w:rPr>
        <w:t xml:space="preserve">Security of Information for Telecommuting </w:t>
      </w:r>
    </w:p>
    <w:p w14:paraId="1E3C0214" w14:textId="448DF1A4" w:rsidR="00D51B50" w:rsidRDefault="00D51B50" w:rsidP="009C7873">
      <w:pPr>
        <w:pStyle w:val="ListParagraph"/>
        <w:numPr>
          <w:ilvl w:val="0"/>
          <w:numId w:val="32"/>
        </w:numPr>
        <w:spacing w:after="160" w:line="259" w:lineRule="auto"/>
        <w:jc w:val="both"/>
      </w:pPr>
      <w:r>
        <w:t xml:space="preserve">An employee authorized to telecommute must safeguard non-public information. The </w:t>
      </w:r>
      <w:r w:rsidR="0046283A">
        <w:t xml:space="preserve">telecommuting </w:t>
      </w:r>
      <w:r>
        <w:t xml:space="preserve">employee may be held liable for unauthorized use of equipment or information. </w:t>
      </w:r>
    </w:p>
    <w:p w14:paraId="7F286DB6" w14:textId="688AD541" w:rsidR="00D51B50" w:rsidRDefault="00D51B50" w:rsidP="009C7873">
      <w:pPr>
        <w:pStyle w:val="ListParagraph"/>
        <w:numPr>
          <w:ilvl w:val="0"/>
          <w:numId w:val="32"/>
        </w:numPr>
        <w:spacing w:after="160" w:line="259" w:lineRule="auto"/>
        <w:jc w:val="both"/>
      </w:pPr>
      <w:r>
        <w:t xml:space="preserve">Computer equipment used to telecommute must </w:t>
      </w:r>
      <w:r w:rsidR="006E61EE" w:rsidRPr="00E62D22">
        <w:t>be supplied by Weber County and conform to all current security standards.</w:t>
      </w:r>
      <w:r>
        <w:t xml:space="preserve"> </w:t>
      </w:r>
    </w:p>
    <w:p w14:paraId="4D05E503" w14:textId="73516976" w:rsidR="00D51B50" w:rsidRDefault="00D51B50" w:rsidP="009C7873">
      <w:pPr>
        <w:pStyle w:val="ListParagraph"/>
        <w:numPr>
          <w:ilvl w:val="1"/>
          <w:numId w:val="32"/>
        </w:numPr>
        <w:spacing w:after="160" w:line="259" w:lineRule="auto"/>
        <w:jc w:val="both"/>
      </w:pPr>
      <w:r>
        <w:t xml:space="preserve">County information stored on electronic equipment is subject to public records requests and </w:t>
      </w:r>
      <w:r w:rsidR="00073D32">
        <w:t>department</w:t>
      </w:r>
      <w:r w:rsidR="005C79D6">
        <w:t xml:space="preserve"> </w:t>
      </w:r>
      <w:r>
        <w:t xml:space="preserve">review. </w:t>
      </w:r>
    </w:p>
    <w:p w14:paraId="762F94B4" w14:textId="2DB03890" w:rsidR="00D51B50" w:rsidRDefault="00D51B50" w:rsidP="009C7873">
      <w:pPr>
        <w:pStyle w:val="ListParagraph"/>
        <w:numPr>
          <w:ilvl w:val="1"/>
          <w:numId w:val="32"/>
        </w:numPr>
        <w:spacing w:after="160" w:line="259" w:lineRule="auto"/>
        <w:jc w:val="both"/>
      </w:pPr>
      <w:r>
        <w:lastRenderedPageBreak/>
        <w:t xml:space="preserve">Work performed in an alternate work location is considered official County business. </w:t>
      </w:r>
      <w:r w:rsidR="003F507A">
        <w:t xml:space="preserve">Departments </w:t>
      </w:r>
      <w:r>
        <w:t>may establish specific conditions that apply to employees working in alternate locations.</w:t>
      </w:r>
    </w:p>
    <w:p w14:paraId="00BDF7B8" w14:textId="77777777" w:rsidR="00D51B50" w:rsidRDefault="00D51B50" w:rsidP="009C7873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</w:rPr>
      </w:pPr>
    </w:p>
    <w:p w14:paraId="1B7BB375" w14:textId="77777777" w:rsidR="009C7873" w:rsidRDefault="009C7873" w:rsidP="009C787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14:paraId="61D487A0" w14:textId="7FF9C1F0" w:rsidR="009C7873" w:rsidRDefault="009C7873" w:rsidP="009C787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14:paraId="6AF18B85" w14:textId="4E8647C5" w:rsidR="009C7873" w:rsidRPr="00E62D22" w:rsidRDefault="009C7873" w:rsidP="009C787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  <w:r w:rsidRPr="00E62D22">
        <w:rPr>
          <w:sz w:val="18"/>
          <w:szCs w:val="18"/>
        </w:rPr>
        <w:t xml:space="preserve">DATED this </w:t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</w:rPr>
        <w:t xml:space="preserve"> day of </w:t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</w:rPr>
        <w:t xml:space="preserve">, </w:t>
      </w:r>
      <w:r w:rsidR="001E1F38" w:rsidRPr="00E62D22">
        <w:rPr>
          <w:sz w:val="18"/>
          <w:szCs w:val="18"/>
        </w:rPr>
        <w:t>202</w:t>
      </w:r>
      <w:r w:rsidR="001E1F38">
        <w:rPr>
          <w:sz w:val="18"/>
          <w:szCs w:val="18"/>
        </w:rPr>
        <w:t>4</w:t>
      </w:r>
      <w:r w:rsidRPr="00E62D22">
        <w:rPr>
          <w:sz w:val="18"/>
          <w:szCs w:val="18"/>
        </w:rPr>
        <w:t xml:space="preserve">. </w:t>
      </w:r>
    </w:p>
    <w:p w14:paraId="4F824C66" w14:textId="77777777" w:rsidR="009C7873" w:rsidRPr="00E62D22" w:rsidRDefault="009C7873" w:rsidP="009C787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18"/>
          <w:szCs w:val="18"/>
        </w:rPr>
      </w:pPr>
    </w:p>
    <w:p w14:paraId="54B9D239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ind w:left="5760"/>
        <w:rPr>
          <w:sz w:val="18"/>
          <w:szCs w:val="18"/>
        </w:rPr>
      </w:pPr>
      <w:r w:rsidRPr="00E62D22">
        <w:rPr>
          <w:sz w:val="18"/>
          <w:szCs w:val="18"/>
        </w:rPr>
        <w:t>BOARD OF COUNTY COMMISSIONERS OF WEBER COUNTY:</w:t>
      </w:r>
    </w:p>
    <w:p w14:paraId="77C2C77E" w14:textId="77777777" w:rsidR="009C7873" w:rsidRPr="00E62D22" w:rsidRDefault="009C7873" w:rsidP="009C7873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  <w:rPr>
          <w:sz w:val="18"/>
          <w:szCs w:val="18"/>
        </w:rPr>
      </w:pPr>
    </w:p>
    <w:p w14:paraId="066C3778" w14:textId="52680455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Pr="00E62D22">
        <w:rPr>
          <w:sz w:val="18"/>
          <w:szCs w:val="18"/>
        </w:rPr>
        <w:tab/>
      </w:r>
      <w:r w:rsidR="00E36EA7" w:rsidRPr="00814B99">
        <w:rPr>
          <w:sz w:val="18"/>
          <w:szCs w:val="18"/>
        </w:rPr>
        <w:t>James H. “Jim” Harvey,</w:t>
      </w:r>
      <w:r w:rsidR="00E36EA7">
        <w:rPr>
          <w:rFonts w:asciiTheme="minorHAnsi" w:hAnsiTheme="minorHAnsi" w:cstheme="minorHAnsi"/>
          <w:sz w:val="24"/>
          <w:szCs w:val="24"/>
        </w:rPr>
        <w:t xml:space="preserve"> </w:t>
      </w:r>
      <w:r w:rsidRPr="00E62D22">
        <w:rPr>
          <w:sz w:val="18"/>
          <w:szCs w:val="18"/>
        </w:rPr>
        <w:t>Chair</w:t>
      </w:r>
    </w:p>
    <w:p w14:paraId="0098B277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D0337B9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 xml:space="preserve">ATTEST: </w:t>
      </w:r>
    </w:p>
    <w:p w14:paraId="7F7DB2C2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143FC047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</w:p>
    <w:p w14:paraId="6CC02ABF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>Ricky Hatch, CPA</w:t>
      </w:r>
    </w:p>
    <w:p w14:paraId="2334E21E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>Weber County Clerk/Auditor</w:t>
      </w:r>
    </w:p>
    <w:p w14:paraId="3ED34EC6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B81CC68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D8BA0C0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</w:p>
    <w:p w14:paraId="00A2BFF8" w14:textId="7B7B0B64" w:rsidR="009C7873" w:rsidRPr="00E62D22" w:rsidRDefault="001E1F38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Emily Wilde</w:t>
      </w:r>
    </w:p>
    <w:p w14:paraId="7EAB34E1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>Human Resources</w:t>
      </w:r>
    </w:p>
    <w:p w14:paraId="091886E4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CFB8E1B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 xml:space="preserve">Approved as to form and legality: </w:t>
      </w:r>
    </w:p>
    <w:p w14:paraId="29875AE8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8B7397E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8256DFE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  <w:u w:val="single"/>
        </w:rPr>
      </w:pP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  <w:r w:rsidRPr="00E62D22">
        <w:rPr>
          <w:sz w:val="18"/>
          <w:szCs w:val="18"/>
          <w:u w:val="single"/>
        </w:rPr>
        <w:tab/>
      </w:r>
    </w:p>
    <w:p w14:paraId="0EF96D3D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 xml:space="preserve">Courtlan Erickson </w:t>
      </w:r>
    </w:p>
    <w:p w14:paraId="11E066F9" w14:textId="77777777" w:rsidR="009C7873" w:rsidRPr="00E62D22" w:rsidRDefault="009C7873" w:rsidP="009C787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E62D22">
        <w:rPr>
          <w:sz w:val="18"/>
          <w:szCs w:val="18"/>
        </w:rPr>
        <w:t>Deputy County Attorney</w:t>
      </w:r>
    </w:p>
    <w:p w14:paraId="2B921E0F" w14:textId="77777777" w:rsidR="009C7873" w:rsidRPr="00141C90" w:rsidRDefault="009C7873" w:rsidP="009C7873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Theme="minorHAnsi" w:hAnsiTheme="minorHAnsi" w:cstheme="minorHAnsi"/>
        </w:rPr>
      </w:pPr>
    </w:p>
    <w:sectPr w:rsidR="009C7873" w:rsidRPr="00141C90" w:rsidSect="00D72F9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CD0ED" w14:textId="77777777" w:rsidR="008B5A73" w:rsidRDefault="008B5A73" w:rsidP="00900452">
      <w:pPr>
        <w:spacing w:after="0" w:line="240" w:lineRule="auto"/>
      </w:pPr>
      <w:r>
        <w:separator/>
      </w:r>
    </w:p>
  </w:endnote>
  <w:endnote w:type="continuationSeparator" w:id="0">
    <w:p w14:paraId="0C02816B" w14:textId="77777777" w:rsidR="008B5A73" w:rsidRDefault="008B5A73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DC853" w14:textId="548CCBF5" w:rsidR="00F317DF" w:rsidRPr="00F317DF" w:rsidRDefault="00F317D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C868C9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C868C9">
              <w:rPr>
                <w:bCs/>
                <w:noProof/>
              </w:rPr>
              <w:t>3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9AEE06" w14:textId="77777777" w:rsidR="00F317DF" w:rsidRDefault="00F31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1F56524A" w14:textId="204D44EA" w:rsidR="00FD7AC1" w:rsidRPr="00FD7AC1" w:rsidRDefault="00FD7AC1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C868C9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C868C9">
              <w:rPr>
                <w:bCs/>
                <w:noProof/>
              </w:rPr>
              <w:t>3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FA73D" w14:textId="77777777" w:rsidR="00FD7AC1" w:rsidRDefault="00FD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653F" w14:textId="77777777" w:rsidR="008B5A73" w:rsidRDefault="008B5A73" w:rsidP="00900452">
      <w:pPr>
        <w:spacing w:after="0" w:line="240" w:lineRule="auto"/>
      </w:pPr>
      <w:r>
        <w:separator/>
      </w:r>
    </w:p>
  </w:footnote>
  <w:footnote w:type="continuationSeparator" w:id="0">
    <w:p w14:paraId="2D99F80A" w14:textId="77777777" w:rsidR="008B5A73" w:rsidRDefault="008B5A73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7A77" w14:textId="734DE2E3" w:rsidR="00FF1554" w:rsidRPr="00D72F95" w:rsidRDefault="00C05733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25F47E" wp14:editId="14217E4C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1FCF4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="00D72F95" w:rsidRPr="00D72F95">
      <w:rPr>
        <w:rFonts w:ascii="Arial Black" w:hAnsi="Arial Black"/>
        <w:b/>
        <w:sz w:val="24"/>
        <w:szCs w:val="24"/>
      </w:rPr>
      <w:t>Weber</w:t>
    </w:r>
    <w:r w:rsidR="00121FAF">
      <w:rPr>
        <w:rFonts w:ascii="Arial Black" w:hAnsi="Arial Black"/>
        <w:b/>
        <w:sz w:val="24"/>
        <w:szCs w:val="24"/>
      </w:rPr>
      <w:t xml:space="preserve"> C</w:t>
    </w:r>
    <w:r w:rsidR="00C3647E">
      <w:rPr>
        <w:rFonts w:ascii="Arial Black" w:hAnsi="Arial Black"/>
        <w:b/>
        <w:sz w:val="24"/>
        <w:szCs w:val="24"/>
      </w:rPr>
      <w:t>ounty Human Resources Policy 2-</w:t>
    </w:r>
    <w:r w:rsidR="001E1F38">
      <w:rPr>
        <w:rFonts w:ascii="Arial Black" w:hAnsi="Arial Black"/>
        <w:b/>
        <w:sz w:val="24"/>
        <w:szCs w:val="24"/>
      </w:rPr>
      <w:t>9</w:t>
    </w:r>
    <w:r w:rsidR="001E1F38" w:rsidRPr="00D72F95">
      <w:rPr>
        <w:rFonts w:ascii="Arial Black" w:hAnsi="Arial Black"/>
        <w:b/>
        <w:sz w:val="24"/>
        <w:szCs w:val="24"/>
      </w:rPr>
      <w:t>00</w:t>
    </w:r>
    <w:r w:rsidR="00D72F95" w:rsidRPr="00D72F95">
      <w:rPr>
        <w:rFonts w:ascii="Arial Black" w:hAnsi="Arial Black"/>
        <w:b/>
        <w:sz w:val="24"/>
        <w:szCs w:val="24"/>
      </w:rPr>
      <w:t xml:space="preserve">: </w:t>
    </w:r>
    <w:r w:rsidR="001E1F38">
      <w:rPr>
        <w:rFonts w:ascii="Arial Black" w:hAnsi="Arial Black"/>
        <w:b/>
        <w:sz w:val="24"/>
        <w:szCs w:val="24"/>
      </w:rPr>
      <w:t>Telecommuting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457D5E" w14:paraId="22FCAB43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5F132719" w14:textId="77777777" w:rsidR="00457D5E" w:rsidRPr="00751C18" w:rsidRDefault="00FF4AED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F6F6C9" wp14:editId="14665A4F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BF45F" w14:textId="0D340A2A" w:rsidR="00457D5E" w:rsidRPr="007432E4" w:rsidRDefault="006D6BA5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 w:rsidR="00121FAF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</w:t>
                                </w:r>
                                <w:r w:rsidR="00C3647E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ounty Human Resources Policy 2-</w:t>
                                </w:r>
                                <w:r w:rsidR="00911689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5E6ACAD5" w14:textId="29AD9FF2" w:rsidR="006D6BA5" w:rsidRPr="007432E4" w:rsidRDefault="00911689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Telecommuting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F6F6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4FCBF45F" w14:textId="0D340A2A" w:rsidR="00457D5E" w:rsidRPr="007432E4" w:rsidRDefault="006D6BA5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 w:rsidR="00121FAF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</w:t>
                          </w:r>
                          <w:r w:rsidR="00C3647E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ounty Human Resources Policy 2-</w:t>
                          </w:r>
                          <w:r w:rsidR="00911689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9</w:t>
                          </w: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5E6ACAD5" w14:textId="29AD9FF2" w:rsidR="006D6BA5" w:rsidRPr="007432E4" w:rsidRDefault="00911689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Telecommuting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35A341A5" wp14:editId="531A3294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7CCFCAD0" w14:textId="77777777" w:rsidR="006D6BA5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4AA47A82" w14:textId="77777777" w:rsidR="00457D5E" w:rsidRPr="006D6BA5" w:rsidRDefault="00457D5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5243019B" w14:textId="77777777" w:rsidR="00457D5E" w:rsidRDefault="00C05733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3373A" wp14:editId="0F3A6F49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2813B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0E6291"/>
    <w:multiLevelType w:val="hybridMultilevel"/>
    <w:tmpl w:val="7622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8B8"/>
    <w:multiLevelType w:val="hybridMultilevel"/>
    <w:tmpl w:val="F06C14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307538"/>
    <w:multiLevelType w:val="hybridMultilevel"/>
    <w:tmpl w:val="6FEE85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2451F9"/>
    <w:multiLevelType w:val="hybridMultilevel"/>
    <w:tmpl w:val="053AF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3190"/>
    <w:multiLevelType w:val="hybridMultilevel"/>
    <w:tmpl w:val="4C4669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743B70"/>
    <w:multiLevelType w:val="hybridMultilevel"/>
    <w:tmpl w:val="0CEE6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E44E4A"/>
    <w:multiLevelType w:val="hybridMultilevel"/>
    <w:tmpl w:val="5588D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D3619C"/>
    <w:multiLevelType w:val="hybridMultilevel"/>
    <w:tmpl w:val="D0BEAB9E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9D915F8"/>
    <w:multiLevelType w:val="hybridMultilevel"/>
    <w:tmpl w:val="D6A642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426878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4479A4"/>
    <w:multiLevelType w:val="hybridMultilevel"/>
    <w:tmpl w:val="FC4C906E"/>
    <w:lvl w:ilvl="0" w:tplc="A2181CFA">
      <w:start w:val="1"/>
      <w:numFmt w:val="decimal"/>
      <w:lvlText w:val="%1."/>
      <w:lvlJc w:val="left"/>
      <w:pPr>
        <w:ind w:left="1440" w:hanging="360"/>
      </w:pPr>
    </w:lvl>
    <w:lvl w:ilvl="1" w:tplc="0A2A61D8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226DCF"/>
    <w:multiLevelType w:val="hybridMultilevel"/>
    <w:tmpl w:val="82BE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5720D"/>
    <w:multiLevelType w:val="hybridMultilevel"/>
    <w:tmpl w:val="7E0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9D5370"/>
    <w:multiLevelType w:val="hybridMultilevel"/>
    <w:tmpl w:val="D8909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CEB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27741E2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6646C"/>
    <w:multiLevelType w:val="hybridMultilevel"/>
    <w:tmpl w:val="DDFCC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87714"/>
    <w:multiLevelType w:val="hybridMultilevel"/>
    <w:tmpl w:val="9440F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800EF"/>
    <w:multiLevelType w:val="hybridMultilevel"/>
    <w:tmpl w:val="000065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66A46"/>
    <w:multiLevelType w:val="hybridMultilevel"/>
    <w:tmpl w:val="78F6E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E4286"/>
    <w:multiLevelType w:val="hybridMultilevel"/>
    <w:tmpl w:val="8A7AEAF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7ED123C"/>
    <w:multiLevelType w:val="hybridMultilevel"/>
    <w:tmpl w:val="AD3C7E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1759C8"/>
    <w:multiLevelType w:val="hybridMultilevel"/>
    <w:tmpl w:val="3BEC27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8E3871"/>
    <w:multiLevelType w:val="hybridMultilevel"/>
    <w:tmpl w:val="F9CCA3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522139"/>
    <w:multiLevelType w:val="hybridMultilevel"/>
    <w:tmpl w:val="635AD138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5"/>
  </w:num>
  <w:num w:numId="5">
    <w:abstractNumId w:val="31"/>
  </w:num>
  <w:num w:numId="6">
    <w:abstractNumId w:val="6"/>
  </w:num>
  <w:num w:numId="7">
    <w:abstractNumId w:val="14"/>
  </w:num>
  <w:num w:numId="8">
    <w:abstractNumId w:val="20"/>
  </w:num>
  <w:num w:numId="9">
    <w:abstractNumId w:val="25"/>
  </w:num>
  <w:num w:numId="10">
    <w:abstractNumId w:val="24"/>
  </w:num>
  <w:num w:numId="11">
    <w:abstractNumId w:val="27"/>
  </w:num>
  <w:num w:numId="12">
    <w:abstractNumId w:val="28"/>
  </w:num>
  <w:num w:numId="13">
    <w:abstractNumId w:val="21"/>
  </w:num>
  <w:num w:numId="14">
    <w:abstractNumId w:val="29"/>
  </w:num>
  <w:num w:numId="15">
    <w:abstractNumId w:val="12"/>
  </w:num>
  <w:num w:numId="16">
    <w:abstractNumId w:val="2"/>
  </w:num>
  <w:num w:numId="17">
    <w:abstractNumId w:val="17"/>
  </w:num>
  <w:num w:numId="18">
    <w:abstractNumId w:val="23"/>
  </w:num>
  <w:num w:numId="19">
    <w:abstractNumId w:val="13"/>
  </w:num>
  <w:num w:numId="20">
    <w:abstractNumId w:val="4"/>
  </w:num>
  <w:num w:numId="21">
    <w:abstractNumId w:val="8"/>
  </w:num>
  <w:num w:numId="22">
    <w:abstractNumId w:val="1"/>
  </w:num>
  <w:num w:numId="23">
    <w:abstractNumId w:val="11"/>
  </w:num>
  <w:num w:numId="24">
    <w:abstractNumId w:val="16"/>
  </w:num>
  <w:num w:numId="25">
    <w:abstractNumId w:val="22"/>
  </w:num>
  <w:num w:numId="26">
    <w:abstractNumId w:val="19"/>
  </w:num>
  <w:num w:numId="27">
    <w:abstractNumId w:val="9"/>
  </w:num>
  <w:num w:numId="28">
    <w:abstractNumId w:val="30"/>
  </w:num>
  <w:num w:numId="29">
    <w:abstractNumId w:val="26"/>
  </w:num>
  <w:num w:numId="30">
    <w:abstractNumId w:val="5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86"/>
    <w:rsid w:val="00073D32"/>
    <w:rsid w:val="000C631E"/>
    <w:rsid w:val="000D63E3"/>
    <w:rsid w:val="000D7207"/>
    <w:rsid w:val="000F0BD5"/>
    <w:rsid w:val="00102EDA"/>
    <w:rsid w:val="001119FF"/>
    <w:rsid w:val="00121FAF"/>
    <w:rsid w:val="00122165"/>
    <w:rsid w:val="00141C90"/>
    <w:rsid w:val="001463D1"/>
    <w:rsid w:val="00152DDE"/>
    <w:rsid w:val="0018144B"/>
    <w:rsid w:val="00193C0C"/>
    <w:rsid w:val="00195CF7"/>
    <w:rsid w:val="001969B8"/>
    <w:rsid w:val="001D3A35"/>
    <w:rsid w:val="001E1F38"/>
    <w:rsid w:val="001E6A45"/>
    <w:rsid w:val="001F5D23"/>
    <w:rsid w:val="00201586"/>
    <w:rsid w:val="002110DD"/>
    <w:rsid w:val="00230586"/>
    <w:rsid w:val="00244012"/>
    <w:rsid w:val="002626BE"/>
    <w:rsid w:val="0027298E"/>
    <w:rsid w:val="002F726C"/>
    <w:rsid w:val="00302619"/>
    <w:rsid w:val="00342C5C"/>
    <w:rsid w:val="0035006D"/>
    <w:rsid w:val="00353BFE"/>
    <w:rsid w:val="00365FE6"/>
    <w:rsid w:val="003B0631"/>
    <w:rsid w:val="003F507A"/>
    <w:rsid w:val="00413458"/>
    <w:rsid w:val="00413D02"/>
    <w:rsid w:val="00425077"/>
    <w:rsid w:val="00430057"/>
    <w:rsid w:val="004303F6"/>
    <w:rsid w:val="00457D5E"/>
    <w:rsid w:val="0046283A"/>
    <w:rsid w:val="00463018"/>
    <w:rsid w:val="00467731"/>
    <w:rsid w:val="0047784E"/>
    <w:rsid w:val="004907BD"/>
    <w:rsid w:val="00542BBF"/>
    <w:rsid w:val="00565B9F"/>
    <w:rsid w:val="00584231"/>
    <w:rsid w:val="005A1406"/>
    <w:rsid w:val="005C79D6"/>
    <w:rsid w:val="005D4384"/>
    <w:rsid w:val="005F4223"/>
    <w:rsid w:val="005F5109"/>
    <w:rsid w:val="00642C43"/>
    <w:rsid w:val="00645007"/>
    <w:rsid w:val="00691661"/>
    <w:rsid w:val="006A647B"/>
    <w:rsid w:val="006B3DE3"/>
    <w:rsid w:val="006D6BA5"/>
    <w:rsid w:val="006E61EE"/>
    <w:rsid w:val="00717A70"/>
    <w:rsid w:val="00720F91"/>
    <w:rsid w:val="007432E4"/>
    <w:rsid w:val="00751C18"/>
    <w:rsid w:val="007622F5"/>
    <w:rsid w:val="0076395E"/>
    <w:rsid w:val="00792A23"/>
    <w:rsid w:val="007B4427"/>
    <w:rsid w:val="007D37CB"/>
    <w:rsid w:val="007E37F0"/>
    <w:rsid w:val="00801797"/>
    <w:rsid w:val="0081274B"/>
    <w:rsid w:val="00814B99"/>
    <w:rsid w:val="008344A0"/>
    <w:rsid w:val="00837EAC"/>
    <w:rsid w:val="0085572E"/>
    <w:rsid w:val="00855C89"/>
    <w:rsid w:val="0086507E"/>
    <w:rsid w:val="00892463"/>
    <w:rsid w:val="008B09EC"/>
    <w:rsid w:val="008B1D6C"/>
    <w:rsid w:val="008B5A73"/>
    <w:rsid w:val="008C1738"/>
    <w:rsid w:val="008C457D"/>
    <w:rsid w:val="00900452"/>
    <w:rsid w:val="009056EE"/>
    <w:rsid w:val="00911689"/>
    <w:rsid w:val="00932B29"/>
    <w:rsid w:val="00935D10"/>
    <w:rsid w:val="009622FA"/>
    <w:rsid w:val="009630EB"/>
    <w:rsid w:val="009B04A4"/>
    <w:rsid w:val="009B2B9F"/>
    <w:rsid w:val="009B3B91"/>
    <w:rsid w:val="009B593E"/>
    <w:rsid w:val="009C7873"/>
    <w:rsid w:val="009E013E"/>
    <w:rsid w:val="009E1D0A"/>
    <w:rsid w:val="009E665E"/>
    <w:rsid w:val="00A253D9"/>
    <w:rsid w:val="00A31BFA"/>
    <w:rsid w:val="00A357AB"/>
    <w:rsid w:val="00A37148"/>
    <w:rsid w:val="00A3782E"/>
    <w:rsid w:val="00A51A69"/>
    <w:rsid w:val="00A52C5E"/>
    <w:rsid w:val="00AA379C"/>
    <w:rsid w:val="00AC1A7A"/>
    <w:rsid w:val="00AC365A"/>
    <w:rsid w:val="00AD76D3"/>
    <w:rsid w:val="00AE4E63"/>
    <w:rsid w:val="00AE728C"/>
    <w:rsid w:val="00AF3689"/>
    <w:rsid w:val="00B0383B"/>
    <w:rsid w:val="00B32D1E"/>
    <w:rsid w:val="00B65B1E"/>
    <w:rsid w:val="00B75B14"/>
    <w:rsid w:val="00B8595F"/>
    <w:rsid w:val="00B94312"/>
    <w:rsid w:val="00BA11E3"/>
    <w:rsid w:val="00BC574D"/>
    <w:rsid w:val="00BF2FF4"/>
    <w:rsid w:val="00C05733"/>
    <w:rsid w:val="00C10B46"/>
    <w:rsid w:val="00C10E84"/>
    <w:rsid w:val="00C3647E"/>
    <w:rsid w:val="00C5013C"/>
    <w:rsid w:val="00C84C15"/>
    <w:rsid w:val="00C868C9"/>
    <w:rsid w:val="00CA52F9"/>
    <w:rsid w:val="00CE3E60"/>
    <w:rsid w:val="00D1369B"/>
    <w:rsid w:val="00D20445"/>
    <w:rsid w:val="00D21AAE"/>
    <w:rsid w:val="00D257E4"/>
    <w:rsid w:val="00D25F7F"/>
    <w:rsid w:val="00D45983"/>
    <w:rsid w:val="00D51B50"/>
    <w:rsid w:val="00D61567"/>
    <w:rsid w:val="00D70FFD"/>
    <w:rsid w:val="00D72F95"/>
    <w:rsid w:val="00D90F51"/>
    <w:rsid w:val="00DA30AD"/>
    <w:rsid w:val="00DB1101"/>
    <w:rsid w:val="00DD45CD"/>
    <w:rsid w:val="00DF03E3"/>
    <w:rsid w:val="00DF721C"/>
    <w:rsid w:val="00E02A43"/>
    <w:rsid w:val="00E16FB7"/>
    <w:rsid w:val="00E35386"/>
    <w:rsid w:val="00E36EA7"/>
    <w:rsid w:val="00E55902"/>
    <w:rsid w:val="00E56CE1"/>
    <w:rsid w:val="00E62D22"/>
    <w:rsid w:val="00E746FA"/>
    <w:rsid w:val="00EC5263"/>
    <w:rsid w:val="00F24684"/>
    <w:rsid w:val="00F2642E"/>
    <w:rsid w:val="00F317DF"/>
    <w:rsid w:val="00F37099"/>
    <w:rsid w:val="00F443AE"/>
    <w:rsid w:val="00F455E5"/>
    <w:rsid w:val="00F55920"/>
    <w:rsid w:val="00F56043"/>
    <w:rsid w:val="00F651D7"/>
    <w:rsid w:val="00F97741"/>
    <w:rsid w:val="00FA28D4"/>
    <w:rsid w:val="00FB6219"/>
    <w:rsid w:val="00FD7AC1"/>
    <w:rsid w:val="00FE3F6F"/>
    <w:rsid w:val="00FE5815"/>
    <w:rsid w:val="00FF1554"/>
    <w:rsid w:val="00FF41F2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0E9BD5B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23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7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8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Halacy, Shelly</cp:lastModifiedBy>
  <cp:revision>2</cp:revision>
  <cp:lastPrinted>2024-02-26T17:50:00Z</cp:lastPrinted>
  <dcterms:created xsi:type="dcterms:W3CDTF">2024-03-15T19:19:00Z</dcterms:created>
  <dcterms:modified xsi:type="dcterms:W3CDTF">2024-03-15T19:19:00Z</dcterms:modified>
</cp:coreProperties>
</file>